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61720E88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6F25C3">
        <w:rPr>
          <w:b/>
          <w:bCs/>
        </w:rPr>
        <w:t>17</w:t>
      </w:r>
      <w:r w:rsidR="006F25C3" w:rsidRPr="006F25C3">
        <w:rPr>
          <w:b/>
          <w:bCs/>
          <w:vertAlign w:val="superscript"/>
        </w:rPr>
        <w:t>th</w:t>
      </w:r>
      <w:r w:rsidR="006F25C3">
        <w:rPr>
          <w:b/>
          <w:bCs/>
        </w:rPr>
        <w:t xml:space="preserve"> September</w:t>
      </w:r>
      <w:r w:rsidR="000A7E7A">
        <w:rPr>
          <w:b/>
          <w:bCs/>
        </w:rPr>
        <w:t xml:space="preserve"> </w:t>
      </w:r>
      <w:r w:rsidR="5E705DC0" w:rsidRPr="2D6492A3">
        <w:rPr>
          <w:b/>
          <w:bCs/>
        </w:rPr>
        <w:t>202</w:t>
      </w:r>
      <w:r w:rsidR="00CB7A00">
        <w:rPr>
          <w:b/>
          <w:bCs/>
        </w:rPr>
        <w:t>5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5C5F3688" w:rsidR="00D72AAF" w:rsidRDefault="00D72AAF" w:rsidP="00D72AAF">
            <w:r>
              <w:t>Members Present:</w:t>
            </w:r>
            <w:r w:rsidR="00D073BA">
              <w:t xml:space="preserve"> </w:t>
            </w:r>
            <w:r w:rsidR="00444B97">
              <w:t xml:space="preserve">Richard Tawse, </w:t>
            </w:r>
            <w:r w:rsidR="008459FC">
              <w:t>Haris Ansari, Frank Etherson</w:t>
            </w:r>
            <w:r w:rsidR="004607AB">
              <w:t xml:space="preserve">, Sarah-Anne Duncan, Steve Walsh, Alex Phillips, John McEwan, Colin Hannah, Lee Page, 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0219A596" w:rsidR="00D72AAF" w:rsidRDefault="00D72AAF" w:rsidP="00D72AAF">
            <w:r>
              <w:t>Apologies:</w:t>
            </w:r>
            <w:r w:rsidR="004E007D">
              <w:t xml:space="preserve">  </w:t>
            </w:r>
            <w:r w:rsidR="004607AB">
              <w:t xml:space="preserve">Matthew Byers, 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5C41F725" w:rsidR="008D6289" w:rsidRDefault="00D203F0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Lee Propose, Haris Second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6A3B605C" w:rsidR="000A7E7A" w:rsidRPr="000A7E7A" w:rsidRDefault="00741167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4472C4" w:themeColor="accent1"/>
              </w:rPr>
              <w:t>529 Members 17/09/25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52D74609" w14:textId="77777777" w:rsidR="00381841" w:rsidRDefault="00741167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£1,550 in Main</w:t>
            </w:r>
          </w:p>
          <w:p w14:paraId="057712F1" w14:textId="77777777" w:rsidR="00741167" w:rsidRDefault="00741167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£4,863 in Celtics</w:t>
            </w:r>
          </w:p>
          <w:p w14:paraId="67F7C2C9" w14:textId="3F04A6F1" w:rsidR="00E002FA" w:rsidRPr="000A7E7A" w:rsidRDefault="00E002FA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Norway </w:t>
            </w:r>
            <w:proofErr w:type="gramStart"/>
            <w:r>
              <w:rPr>
                <w:color w:val="4472C4" w:themeColor="accent1"/>
              </w:rPr>
              <w:t>spend</w:t>
            </w:r>
            <w:proofErr w:type="gramEnd"/>
            <w:r>
              <w:rPr>
                <w:color w:val="4472C4" w:themeColor="accent1"/>
              </w:rPr>
              <w:t xml:space="preserve"> complete, hotels, flights etc.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1B86FA98" w14:textId="77777777" w:rsidR="00D64A6C" w:rsidRDefault="00E002FA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1 Level one paid, waiting for BWL following issue with website.</w:t>
            </w:r>
          </w:p>
          <w:p w14:paraId="0A6D60CA" w14:textId="77777777" w:rsidR="00E002FA" w:rsidRDefault="00E002FA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Dunfermline High – awaiting purchase order and payment.</w:t>
            </w:r>
          </w:p>
          <w:p w14:paraId="2F1A6B6B" w14:textId="06F3A5F0" w:rsidR="00E002FA" w:rsidRPr="00507966" w:rsidRDefault="00E002FA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 xml:space="preserve">Some notes of interest in </w:t>
            </w:r>
            <w:proofErr w:type="gramStart"/>
            <w:r>
              <w:rPr>
                <w:color w:val="4471C4"/>
              </w:rPr>
              <w:t>Face to Face</w:t>
            </w:r>
            <w:proofErr w:type="gramEnd"/>
            <w:r>
              <w:rPr>
                <w:color w:val="4471C4"/>
              </w:rPr>
              <w:t xml:space="preserve"> courses.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53418436" w14:textId="5F5E1CC7" w:rsidR="007756AB" w:rsidRDefault="00E002FA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Coverage at Squad</w:t>
            </w:r>
            <w:r w:rsidR="00A06F4B">
              <w:rPr>
                <w:color w:val="4472C4" w:themeColor="accent1"/>
              </w:rPr>
              <w:t>, good engagement</w:t>
            </w:r>
          </w:p>
          <w:p w14:paraId="6ABF1A07" w14:textId="77777777" w:rsidR="00E002FA" w:rsidRDefault="00E002FA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Awaiting schedule for Norway</w:t>
            </w:r>
          </w:p>
          <w:p w14:paraId="70554B7C" w14:textId="77777777" w:rsidR="00A06F4B" w:rsidRDefault="00A06F4B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Publishing code for volunteers for 2026</w:t>
            </w:r>
          </w:p>
          <w:p w14:paraId="016344D0" w14:textId="14A5BE88" w:rsidR="001466E0" w:rsidRPr="00457AB3" w:rsidRDefault="001466E0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CWG media coverage on Monday at Glasgow City Barbell.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08B0E45C" w:rsidR="00457AB3" w:rsidRPr="00507966" w:rsidRDefault="00A06F4B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No update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0F97B207" w14:textId="77777777" w:rsidR="00251451" w:rsidRDefault="00A06F4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Up to date on courses</w:t>
            </w:r>
          </w:p>
          <w:p w14:paraId="58047E71" w14:textId="77777777" w:rsidR="00A06F4B" w:rsidRDefault="00A06F4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Awaiting updated prohibited list, email to members in October.</w:t>
            </w:r>
          </w:p>
          <w:p w14:paraId="078DB746" w14:textId="3AA5251F" w:rsidR="00A06F4B" w:rsidRDefault="00A06F4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Raise awareness in clubs for online courses.</w:t>
            </w:r>
          </w:p>
          <w:p w14:paraId="60B66129" w14:textId="71E2E0EA" w:rsidR="00A06F4B" w:rsidRPr="00792375" w:rsidRDefault="00A06F4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Education session at squads.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576920CB" w:rsidR="001E0FDF" w:rsidRPr="001E0FDF" w:rsidRDefault="00A040BC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>Invites for Tos to be issued soon</w:t>
            </w:r>
            <w:r w:rsidR="00A06F4B">
              <w:rPr>
                <w:color w:val="4471C4"/>
              </w:rPr>
              <w:t xml:space="preserve"> for Celtics.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58275FB9" w14:textId="77777777" w:rsidR="003A569C" w:rsidRDefault="00A06F4B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Squad at Inverclyde was fantastic, facility now has 8 platforms</w:t>
            </w:r>
          </w:p>
          <w:p w14:paraId="685D312F" w14:textId="77777777" w:rsidR="00A06F4B" w:rsidRDefault="001466E0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Team will head for Norway from 30</w:t>
            </w:r>
            <w:r w:rsidRPr="001466E0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Sept, staggered</w:t>
            </w:r>
          </w:p>
          <w:p w14:paraId="70330CC2" w14:textId="77777777" w:rsidR="001466E0" w:rsidRDefault="001466E0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Team is fired up, hitting good totals</w:t>
            </w:r>
          </w:p>
          <w:p w14:paraId="3992321E" w14:textId="77777777" w:rsidR="001466E0" w:rsidRDefault="001466E0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Team Managers meeting attended</w:t>
            </w:r>
          </w:p>
          <w:p w14:paraId="5593906E" w14:textId="77777777" w:rsidR="001466E0" w:rsidRDefault="001466E0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Pathway on hold due to activity – start Nov</w:t>
            </w:r>
          </w:p>
          <w:p w14:paraId="6925EAE8" w14:textId="24BD4BCB" w:rsidR="001466E0" w:rsidRPr="00457AB3" w:rsidRDefault="001466E0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Celtics team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6E312ACB" w14:textId="77777777" w:rsidR="0070746A" w:rsidRDefault="00A040BC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Classic</w:t>
            </w:r>
          </w:p>
          <w:p w14:paraId="7C8DBA15" w14:textId="1C802D2D" w:rsidR="00C0392F" w:rsidRDefault="00C0392F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World Champs</w:t>
            </w:r>
            <w:r w:rsidR="001466E0">
              <w:rPr>
                <w:color w:val="4472C4" w:themeColor="accent1"/>
              </w:rPr>
              <w:t xml:space="preserve"> – final confirmation 18</w:t>
            </w:r>
            <w:r w:rsidR="001466E0" w:rsidRPr="001466E0">
              <w:rPr>
                <w:color w:val="4472C4" w:themeColor="accent1"/>
                <w:vertAlign w:val="superscript"/>
              </w:rPr>
              <w:t>th</w:t>
            </w:r>
            <w:r w:rsidR="001466E0">
              <w:rPr>
                <w:color w:val="4472C4" w:themeColor="accent1"/>
              </w:rPr>
              <w:t xml:space="preserve"> Sept.</w:t>
            </w:r>
          </w:p>
          <w:p w14:paraId="09D28E1B" w14:textId="77777777" w:rsidR="00A040BC" w:rsidRDefault="00A040BC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Celtics</w:t>
            </w:r>
          </w:p>
          <w:p w14:paraId="6F5E1794" w14:textId="125911E1" w:rsidR="00C13A97" w:rsidRDefault="00C13A97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Europeans</w:t>
            </w:r>
          </w:p>
          <w:p w14:paraId="6C4B1F7D" w14:textId="77777777" w:rsidR="00A040BC" w:rsidRDefault="00A040BC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 / Youth / Dev 4</w:t>
            </w:r>
          </w:p>
          <w:p w14:paraId="27655711" w14:textId="77777777" w:rsidR="00A040BC" w:rsidRDefault="00A040BC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Scottish Seniors</w:t>
            </w:r>
          </w:p>
          <w:p w14:paraId="6191A5C1" w14:textId="77777777" w:rsidR="00A040BC" w:rsidRDefault="00A040BC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First Timer comp</w:t>
            </w:r>
            <w:r w:rsidR="000026BE">
              <w:rPr>
                <w:color w:val="4472C4" w:themeColor="accent1"/>
              </w:rPr>
              <w:t xml:space="preserve"> – Sat 6</w:t>
            </w:r>
            <w:r w:rsidR="000026BE" w:rsidRPr="000026BE">
              <w:rPr>
                <w:color w:val="4472C4" w:themeColor="accent1"/>
                <w:vertAlign w:val="superscript"/>
              </w:rPr>
              <w:t>th</w:t>
            </w:r>
            <w:r w:rsidR="000026BE">
              <w:rPr>
                <w:color w:val="4472C4" w:themeColor="accent1"/>
              </w:rPr>
              <w:t xml:space="preserve"> Dec </w:t>
            </w:r>
          </w:p>
          <w:p w14:paraId="526DC742" w14:textId="77777777" w:rsidR="00A06F4B" w:rsidRDefault="00A06F4B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Draft 2026 calendar to be issued soon</w:t>
            </w:r>
          </w:p>
          <w:p w14:paraId="435B648A" w14:textId="2C11E286" w:rsidR="00256C32" w:rsidRPr="000A7E7A" w:rsidRDefault="00256C32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Districts – remain as districts, clubs could then do an open the following day/weekend.</w:t>
            </w:r>
            <w:r w:rsidR="00ED0559">
              <w:rPr>
                <w:color w:val="4472C4" w:themeColor="accent1"/>
              </w:rPr>
              <w:t xml:space="preserve">  Club post code or own postcode – but only 1 district per year</w:t>
            </w:r>
          </w:p>
        </w:tc>
        <w:tc>
          <w:tcPr>
            <w:tcW w:w="1423" w:type="dxa"/>
          </w:tcPr>
          <w:p w14:paraId="34AFE07B" w14:textId="77777777" w:rsidR="00324D1B" w:rsidRDefault="000A7E7A" w:rsidP="00D72AAF">
            <w:r>
              <w:t>SAD</w:t>
            </w:r>
          </w:p>
          <w:p w14:paraId="242CEA0F" w14:textId="4A89F5FA" w:rsidR="001466E0" w:rsidRDefault="001466E0" w:rsidP="00D72AAF"/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079F5FF3" w14:textId="77777777" w:rsidR="0047328B" w:rsidRDefault="00ED0559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Updated Records from British Age Groups</w:t>
            </w:r>
          </w:p>
          <w:p w14:paraId="74CA7F06" w14:textId="4C324EF1" w:rsidR="00ED0559" w:rsidRPr="008711C2" w:rsidRDefault="00ED0559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Updated Rankings after Classic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324D1B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34F856D8" w:rsidR="00324D1B" w:rsidRDefault="00324D1B" w:rsidP="00D72AAF">
            <w:r>
              <w:t>12</w:t>
            </w:r>
          </w:p>
        </w:tc>
        <w:tc>
          <w:tcPr>
            <w:tcW w:w="5103" w:type="dxa"/>
          </w:tcPr>
          <w:p w14:paraId="647E02D1" w14:textId="77777777" w:rsidR="00324D1B" w:rsidRDefault="00324D1B" w:rsidP="008E1289">
            <w:r>
              <w:t>Club Development</w:t>
            </w:r>
          </w:p>
          <w:p w14:paraId="058684C8" w14:textId="67E3ABD5" w:rsidR="00324D1B" w:rsidRPr="000A7E7A" w:rsidRDefault="00ED0559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No update</w:t>
            </w:r>
          </w:p>
        </w:tc>
        <w:tc>
          <w:tcPr>
            <w:tcW w:w="1423" w:type="dxa"/>
          </w:tcPr>
          <w:p w14:paraId="14A0A65B" w14:textId="5FE67C46" w:rsidR="00324D1B" w:rsidRDefault="00324D1B" w:rsidP="00D72AAF">
            <w:r>
              <w:t>CH</w:t>
            </w:r>
          </w:p>
        </w:tc>
        <w:tc>
          <w:tcPr>
            <w:tcW w:w="789" w:type="dxa"/>
          </w:tcPr>
          <w:p w14:paraId="721A9F49" w14:textId="77777777" w:rsidR="00324D1B" w:rsidRDefault="00324D1B" w:rsidP="00D72AAF"/>
        </w:tc>
        <w:tc>
          <w:tcPr>
            <w:tcW w:w="1195" w:type="dxa"/>
          </w:tcPr>
          <w:p w14:paraId="025DB680" w14:textId="77777777" w:rsidR="00324D1B" w:rsidRDefault="00324D1B" w:rsidP="00D72AAF"/>
        </w:tc>
      </w:tr>
      <w:tr w:rsidR="00B87610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045F5431" w:rsidR="00B87610" w:rsidRDefault="00B87610" w:rsidP="00D72AAF">
            <w:r>
              <w:t>13</w:t>
            </w:r>
          </w:p>
        </w:tc>
        <w:tc>
          <w:tcPr>
            <w:tcW w:w="5103" w:type="dxa"/>
          </w:tcPr>
          <w:p w14:paraId="34C1477B" w14:textId="77777777" w:rsidR="00B87610" w:rsidRDefault="00B87610" w:rsidP="008E1289">
            <w:r>
              <w:t>Women’s Committee</w:t>
            </w:r>
          </w:p>
          <w:p w14:paraId="62292632" w14:textId="59212676" w:rsidR="00251451" w:rsidRDefault="00ED0559" w:rsidP="00B87610">
            <w:pPr>
              <w:pStyle w:val="ListParagraph"/>
              <w:numPr>
                <w:ilvl w:val="0"/>
                <w:numId w:val="7"/>
              </w:numPr>
            </w:pPr>
            <w:r w:rsidRPr="00ED0559">
              <w:rPr>
                <w:color w:val="0070C0"/>
              </w:rPr>
              <w:t>Austria – successful comp</w:t>
            </w:r>
          </w:p>
        </w:tc>
        <w:tc>
          <w:tcPr>
            <w:tcW w:w="1423" w:type="dxa"/>
          </w:tcPr>
          <w:p w14:paraId="5FAB2900" w14:textId="7BAF276A" w:rsidR="00B87610" w:rsidRDefault="0047328B" w:rsidP="00D72AAF">
            <w:r>
              <w:t>SAD</w:t>
            </w:r>
          </w:p>
        </w:tc>
        <w:tc>
          <w:tcPr>
            <w:tcW w:w="789" w:type="dxa"/>
          </w:tcPr>
          <w:p w14:paraId="4450C0DD" w14:textId="77777777" w:rsidR="00B87610" w:rsidRDefault="00B87610" w:rsidP="00D72AAF"/>
        </w:tc>
        <w:tc>
          <w:tcPr>
            <w:tcW w:w="1195" w:type="dxa"/>
          </w:tcPr>
          <w:p w14:paraId="6903AC49" w14:textId="77777777" w:rsidR="00B87610" w:rsidRDefault="00B87610" w:rsidP="00D72AAF"/>
        </w:tc>
      </w:tr>
      <w:tr w:rsidR="00324D1B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67AD5F27" w:rsidR="00324D1B" w:rsidRDefault="00324D1B" w:rsidP="00D72AAF">
            <w:r>
              <w:t>1</w:t>
            </w:r>
            <w:r w:rsidR="00B87610">
              <w:t>4</w:t>
            </w:r>
          </w:p>
        </w:tc>
        <w:tc>
          <w:tcPr>
            <w:tcW w:w="5103" w:type="dxa"/>
          </w:tcPr>
          <w:p w14:paraId="5B956CD1" w14:textId="77777777" w:rsidR="00324D1B" w:rsidRDefault="00324D1B" w:rsidP="008E1289">
            <w:r>
              <w:t>Athlete Committee</w:t>
            </w:r>
          </w:p>
          <w:p w14:paraId="424210E5" w14:textId="00134ECF" w:rsidR="008901DD" w:rsidRPr="001E0FDF" w:rsidRDefault="00EF7A1A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</w:t>
            </w:r>
          </w:p>
          <w:p w14:paraId="650D771C" w14:textId="183F0CFF" w:rsidR="00324D1B" w:rsidRPr="00324D1B" w:rsidRDefault="00324D1B" w:rsidP="2D6492A3">
            <w:pPr>
              <w:rPr>
                <w:color w:val="0070C0"/>
              </w:rPr>
            </w:pPr>
          </w:p>
        </w:tc>
        <w:tc>
          <w:tcPr>
            <w:tcW w:w="1423" w:type="dxa"/>
          </w:tcPr>
          <w:p w14:paraId="509F5FF6" w14:textId="0E34E42D" w:rsidR="00324D1B" w:rsidRDefault="000A7E7A" w:rsidP="00D72AAF">
            <w:r>
              <w:t>DS</w:t>
            </w:r>
          </w:p>
        </w:tc>
        <w:tc>
          <w:tcPr>
            <w:tcW w:w="789" w:type="dxa"/>
          </w:tcPr>
          <w:p w14:paraId="0D3144B3" w14:textId="77777777" w:rsidR="00324D1B" w:rsidRDefault="00324D1B" w:rsidP="00D72AAF"/>
        </w:tc>
        <w:tc>
          <w:tcPr>
            <w:tcW w:w="1195" w:type="dxa"/>
          </w:tcPr>
          <w:p w14:paraId="362542D2" w14:textId="77777777" w:rsidR="00324D1B" w:rsidRDefault="00324D1B" w:rsidP="00D72AAF"/>
        </w:tc>
      </w:tr>
      <w:tr w:rsidR="002227E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7FFC0E95" w:rsidR="002227EC" w:rsidRDefault="002227EC" w:rsidP="00D72AAF">
            <w:r>
              <w:t>1</w:t>
            </w:r>
            <w:r w:rsidR="00B87610">
              <w:t>5</w:t>
            </w:r>
          </w:p>
        </w:tc>
        <w:tc>
          <w:tcPr>
            <w:tcW w:w="5103" w:type="dxa"/>
          </w:tcPr>
          <w:p w14:paraId="738CA75E" w14:textId="77777777" w:rsidR="002227EC" w:rsidRDefault="002227E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212EBB4C" w14:textId="4EA98EE4" w:rsidR="002227EC" w:rsidRDefault="00EF7A1A" w:rsidP="00966F48">
            <w:pPr>
              <w:pStyle w:val="ListParagraph"/>
              <w:numPr>
                <w:ilvl w:val="0"/>
                <w:numId w:val="7"/>
              </w:numPr>
            </w:pPr>
            <w:r w:rsidRPr="00EF7A1A">
              <w:rPr>
                <w:color w:val="0070C0"/>
              </w:rPr>
              <w:t>Work in progress</w:t>
            </w:r>
          </w:p>
        </w:tc>
        <w:tc>
          <w:tcPr>
            <w:tcW w:w="1423" w:type="dxa"/>
          </w:tcPr>
          <w:p w14:paraId="18D40CE8" w14:textId="75956932" w:rsidR="002227EC" w:rsidRDefault="002227EC" w:rsidP="00D72AAF">
            <w:r>
              <w:t>SW</w:t>
            </w:r>
          </w:p>
        </w:tc>
        <w:tc>
          <w:tcPr>
            <w:tcW w:w="789" w:type="dxa"/>
          </w:tcPr>
          <w:p w14:paraId="19FFDFE6" w14:textId="77777777" w:rsidR="002227EC" w:rsidRDefault="002227EC" w:rsidP="00D72AAF"/>
        </w:tc>
        <w:tc>
          <w:tcPr>
            <w:tcW w:w="1195" w:type="dxa"/>
          </w:tcPr>
          <w:p w14:paraId="083D3634" w14:textId="77777777" w:rsidR="002227EC" w:rsidRDefault="002227EC" w:rsidP="00D72AAF"/>
        </w:tc>
      </w:tr>
      <w:tr w:rsidR="00324D1B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AC69A9D" w:rsidR="00324D1B" w:rsidRDefault="00324D1B" w:rsidP="00D72AAF">
            <w:r>
              <w:t>1</w:t>
            </w:r>
            <w:r w:rsidR="00B87610">
              <w:t>6</w:t>
            </w:r>
          </w:p>
        </w:tc>
        <w:tc>
          <w:tcPr>
            <w:tcW w:w="5103" w:type="dxa"/>
          </w:tcPr>
          <w:p w14:paraId="7B3E7294" w14:textId="77777777" w:rsidR="00324D1B" w:rsidRDefault="00324D1B" w:rsidP="00D72AAF">
            <w:r>
              <w:t>Equipment Requirements</w:t>
            </w:r>
          </w:p>
          <w:p w14:paraId="2F6FC20A" w14:textId="77777777" w:rsidR="00F5372B" w:rsidRDefault="00A040BC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Pallet Truck ordered</w:t>
            </w:r>
          </w:p>
          <w:p w14:paraId="59C877A6" w14:textId="4235D222" w:rsidR="00A040BC" w:rsidRPr="001411AE" w:rsidRDefault="00A040BC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Will extend container 115 to Oct to move out during Celtics</w:t>
            </w:r>
          </w:p>
        </w:tc>
        <w:tc>
          <w:tcPr>
            <w:tcW w:w="1423" w:type="dxa"/>
          </w:tcPr>
          <w:p w14:paraId="7AA2F045" w14:textId="6E8C78CC" w:rsidR="00324D1B" w:rsidRDefault="00324D1B" w:rsidP="00D72AAF">
            <w:r>
              <w:t>All</w:t>
            </w:r>
          </w:p>
        </w:tc>
        <w:tc>
          <w:tcPr>
            <w:tcW w:w="789" w:type="dxa"/>
          </w:tcPr>
          <w:p w14:paraId="57E88685" w14:textId="77777777" w:rsidR="00324D1B" w:rsidRDefault="00324D1B" w:rsidP="00D72AAF"/>
        </w:tc>
        <w:tc>
          <w:tcPr>
            <w:tcW w:w="1195" w:type="dxa"/>
          </w:tcPr>
          <w:p w14:paraId="0E7D751C" w14:textId="77777777" w:rsidR="00324D1B" w:rsidRDefault="00324D1B" w:rsidP="00D72AAF"/>
        </w:tc>
      </w:tr>
      <w:tr w:rsidR="00324D1B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086E96C0" w:rsidR="00324D1B" w:rsidRDefault="00324D1B" w:rsidP="00D72AAF">
            <w:r>
              <w:t>1</w:t>
            </w:r>
            <w:r w:rsidR="00B87610">
              <w:t>7</w:t>
            </w:r>
          </w:p>
        </w:tc>
        <w:tc>
          <w:tcPr>
            <w:tcW w:w="5103" w:type="dxa"/>
          </w:tcPr>
          <w:p w14:paraId="369FCFF6" w14:textId="77777777" w:rsidR="00324D1B" w:rsidRDefault="00324D1B" w:rsidP="00D72AAF">
            <w:r>
              <w:t xml:space="preserve">Board Restructuring </w:t>
            </w:r>
          </w:p>
          <w:p w14:paraId="1E9937E0" w14:textId="77777777" w:rsidR="00E15BAD" w:rsidRDefault="00A040BC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Director Timeline issued</w:t>
            </w:r>
          </w:p>
          <w:p w14:paraId="175C1D3D" w14:textId="0A746BE5" w:rsidR="00A040BC" w:rsidRPr="000A7E7A" w:rsidRDefault="00A040BC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Request all directors send over their Co House codes for next Confirmation Statement – due Feb 2026</w:t>
            </w:r>
          </w:p>
        </w:tc>
        <w:tc>
          <w:tcPr>
            <w:tcW w:w="1423" w:type="dxa"/>
          </w:tcPr>
          <w:p w14:paraId="43DA61AF" w14:textId="2BF9EA48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324D1B" w:rsidRDefault="00324D1B" w:rsidP="00D72AAF"/>
        </w:tc>
        <w:tc>
          <w:tcPr>
            <w:tcW w:w="1195" w:type="dxa"/>
          </w:tcPr>
          <w:p w14:paraId="26198E53" w14:textId="77777777" w:rsidR="00324D1B" w:rsidRDefault="00324D1B" w:rsidP="00D72AAF"/>
        </w:tc>
      </w:tr>
      <w:tr w:rsidR="00324D1B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4EF33AA3" w:rsidR="00324D1B" w:rsidRDefault="00324D1B" w:rsidP="00D72AAF">
            <w:r>
              <w:lastRenderedPageBreak/>
              <w:t>1</w:t>
            </w:r>
            <w:r w:rsidR="00B87610">
              <w:t>8</w:t>
            </w:r>
          </w:p>
        </w:tc>
        <w:tc>
          <w:tcPr>
            <w:tcW w:w="5103" w:type="dxa"/>
          </w:tcPr>
          <w:p w14:paraId="7A0386D6" w14:textId="4E407740" w:rsidR="00324D1B" w:rsidRDefault="000A7E7A" w:rsidP="00D72AAF">
            <w:r>
              <w:t>Sport Scotland</w:t>
            </w:r>
          </w:p>
          <w:p w14:paraId="4A82FED5" w14:textId="0355C4FF" w:rsidR="009B14AB" w:rsidRPr="001E0FDF" w:rsidRDefault="00A040BC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</w:t>
            </w:r>
          </w:p>
        </w:tc>
        <w:tc>
          <w:tcPr>
            <w:tcW w:w="1423" w:type="dxa"/>
          </w:tcPr>
          <w:p w14:paraId="1E7720BA" w14:textId="0924F6FB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324D1B" w:rsidRDefault="00324D1B" w:rsidP="00D72AAF"/>
        </w:tc>
        <w:tc>
          <w:tcPr>
            <w:tcW w:w="1195" w:type="dxa"/>
          </w:tcPr>
          <w:p w14:paraId="3C4D6A77" w14:textId="1F1C9CA9" w:rsidR="00324D1B" w:rsidRDefault="00324D1B" w:rsidP="00D72AAF"/>
        </w:tc>
      </w:tr>
      <w:tr w:rsidR="000A7E7A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5749E499" w:rsidR="000A7E7A" w:rsidRDefault="000A7E7A" w:rsidP="00D72AAF">
            <w:r>
              <w:t>1</w:t>
            </w:r>
            <w:r w:rsidR="00B87610">
              <w:t>9</w:t>
            </w:r>
          </w:p>
        </w:tc>
        <w:tc>
          <w:tcPr>
            <w:tcW w:w="5103" w:type="dxa"/>
          </w:tcPr>
          <w:p w14:paraId="17C423E9" w14:textId="0B12D7B7" w:rsidR="000A7E7A" w:rsidRDefault="000A7E7A" w:rsidP="000A7E7A">
            <w:r w:rsidRPr="000A7E7A">
              <w:t>Commonwealth Games</w:t>
            </w:r>
            <w:r w:rsidR="00F75DC0">
              <w:t xml:space="preserve"> 2026</w:t>
            </w:r>
          </w:p>
          <w:p w14:paraId="6391DEAF" w14:textId="77777777" w:rsidR="009B14AB" w:rsidRPr="00A040BC" w:rsidRDefault="00A040BC" w:rsidP="00966F48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A040BC">
              <w:rPr>
                <w:color w:val="0070C0"/>
              </w:rPr>
              <w:t>Team Managers Meeting</w:t>
            </w:r>
          </w:p>
          <w:p w14:paraId="6D0FE426" w14:textId="54308531" w:rsidR="00A040BC" w:rsidRPr="000A7E7A" w:rsidRDefault="00A040BC" w:rsidP="00966F48">
            <w:pPr>
              <w:pStyle w:val="ListParagraph"/>
              <w:numPr>
                <w:ilvl w:val="0"/>
                <w:numId w:val="15"/>
              </w:numPr>
            </w:pPr>
            <w:r w:rsidRPr="00A040BC">
              <w:rPr>
                <w:color w:val="0070C0"/>
              </w:rPr>
              <w:t>Design of Singlet to be sent to CGS</w:t>
            </w:r>
          </w:p>
        </w:tc>
        <w:tc>
          <w:tcPr>
            <w:tcW w:w="1423" w:type="dxa"/>
          </w:tcPr>
          <w:p w14:paraId="15B07D18" w14:textId="15A391C8" w:rsidR="000A7E7A" w:rsidRDefault="000A7E7A" w:rsidP="00D72AAF">
            <w:r>
              <w:t>RJT</w:t>
            </w:r>
          </w:p>
        </w:tc>
        <w:tc>
          <w:tcPr>
            <w:tcW w:w="789" w:type="dxa"/>
          </w:tcPr>
          <w:p w14:paraId="2EBBBBCA" w14:textId="77777777" w:rsidR="000A7E7A" w:rsidRDefault="000A7E7A" w:rsidP="00D72AAF"/>
        </w:tc>
        <w:tc>
          <w:tcPr>
            <w:tcW w:w="1195" w:type="dxa"/>
          </w:tcPr>
          <w:p w14:paraId="73200574" w14:textId="77777777" w:rsidR="000A7E7A" w:rsidRDefault="000A7E7A" w:rsidP="00D72AAF"/>
        </w:tc>
      </w:tr>
      <w:tr w:rsidR="000A7E7A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64F6114B" w:rsidR="000A7E7A" w:rsidRDefault="00B87610" w:rsidP="00D72AAF">
            <w:r>
              <w:t>20</w:t>
            </w:r>
          </w:p>
        </w:tc>
        <w:tc>
          <w:tcPr>
            <w:tcW w:w="5103" w:type="dxa"/>
          </w:tcPr>
          <w:p w14:paraId="12A48815" w14:textId="77777777" w:rsidR="000A7E7A" w:rsidRDefault="000A7E7A" w:rsidP="000A7E7A">
            <w:r>
              <w:t>AOCB</w:t>
            </w:r>
          </w:p>
          <w:p w14:paraId="08007EED" w14:textId="5588A8D1" w:rsidR="003232E0" w:rsidRPr="00EA5B0F" w:rsidRDefault="004607AB" w:rsidP="000A7E7A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Mentors Scheme</w:t>
            </w:r>
            <w:r w:rsidR="00EF7A1A">
              <w:rPr>
                <w:color w:val="4472C4" w:themeColor="accent1"/>
              </w:rPr>
              <w:t xml:space="preserve"> information been sent onwards.</w:t>
            </w:r>
          </w:p>
        </w:tc>
        <w:tc>
          <w:tcPr>
            <w:tcW w:w="1423" w:type="dxa"/>
          </w:tcPr>
          <w:p w14:paraId="16120CB6" w14:textId="0F1B3259" w:rsidR="000A7E7A" w:rsidRDefault="000A7E7A" w:rsidP="00D72AAF">
            <w:r>
              <w:t>All</w:t>
            </w:r>
          </w:p>
        </w:tc>
        <w:tc>
          <w:tcPr>
            <w:tcW w:w="789" w:type="dxa"/>
          </w:tcPr>
          <w:p w14:paraId="4D7E67F3" w14:textId="77777777" w:rsidR="000A7E7A" w:rsidRDefault="000A7E7A" w:rsidP="00D72AAF"/>
        </w:tc>
        <w:tc>
          <w:tcPr>
            <w:tcW w:w="1195" w:type="dxa"/>
          </w:tcPr>
          <w:p w14:paraId="0566BA36" w14:textId="77777777" w:rsidR="000A7E7A" w:rsidRDefault="000A7E7A" w:rsidP="00D72AAF"/>
        </w:tc>
      </w:tr>
      <w:tr w:rsidR="00324D1B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324D1B" w:rsidRDefault="00324D1B" w:rsidP="00D72AAF"/>
        </w:tc>
        <w:tc>
          <w:tcPr>
            <w:tcW w:w="5103" w:type="dxa"/>
          </w:tcPr>
          <w:p w14:paraId="7A60A9D1" w14:textId="2753DA87" w:rsidR="00324D1B" w:rsidRPr="00EA5B0F" w:rsidRDefault="00324D1B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324D1B" w:rsidRDefault="00324D1B" w:rsidP="00D72AAF"/>
        </w:tc>
        <w:tc>
          <w:tcPr>
            <w:tcW w:w="789" w:type="dxa"/>
          </w:tcPr>
          <w:p w14:paraId="1649729A" w14:textId="77777777" w:rsidR="00324D1B" w:rsidRDefault="00324D1B" w:rsidP="00D72AAF"/>
        </w:tc>
        <w:tc>
          <w:tcPr>
            <w:tcW w:w="1195" w:type="dxa"/>
          </w:tcPr>
          <w:p w14:paraId="1ABE2942" w14:textId="77777777" w:rsidR="00324D1B" w:rsidRDefault="00324D1B" w:rsidP="00D72AAF"/>
        </w:tc>
      </w:tr>
    </w:tbl>
    <w:p w14:paraId="78008905" w14:textId="77777777" w:rsidR="00D72AAF" w:rsidRDefault="00D72AAF" w:rsidP="00D72AAF"/>
    <w:p w14:paraId="3E48FE69" w14:textId="68A4CFEF" w:rsidR="00D65909" w:rsidRDefault="00CE0774" w:rsidP="006F25C3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700C4B0E" w14:textId="18F3DC5B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15</w:t>
      </w:r>
      <w:r w:rsidRPr="006C4244">
        <w:rPr>
          <w:b/>
          <w:bCs/>
          <w:vertAlign w:val="superscript"/>
        </w:rPr>
        <w:t>th</w:t>
      </w:r>
      <w:r>
        <w:rPr>
          <w:b/>
          <w:bCs/>
        </w:rPr>
        <w:t xml:space="preserve"> October 2025</w:t>
      </w:r>
    </w:p>
    <w:p w14:paraId="223A895B" w14:textId="7FA56650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19</w:t>
      </w:r>
      <w:r w:rsidRPr="006C4244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2025</w:t>
      </w:r>
    </w:p>
    <w:p w14:paraId="761FBB60" w14:textId="361AC5A9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No Meeting in December</w:t>
      </w:r>
    </w:p>
    <w:p w14:paraId="19E68A61" w14:textId="35D7B2EC" w:rsidR="006C4244" w:rsidRPr="00FF1F8B" w:rsidRDefault="006C4244" w:rsidP="00FF1F8B">
      <w:pPr>
        <w:jc w:val="center"/>
        <w:rPr>
          <w:b/>
          <w:bCs/>
        </w:rPr>
      </w:pPr>
      <w:r>
        <w:rPr>
          <w:b/>
          <w:bCs/>
        </w:rPr>
        <w:t>21</w:t>
      </w:r>
      <w:r w:rsidRPr="006C4244">
        <w:rPr>
          <w:b/>
          <w:bCs/>
          <w:vertAlign w:val="superscript"/>
        </w:rPr>
        <w:t>st</w:t>
      </w:r>
      <w:r>
        <w:rPr>
          <w:b/>
          <w:bCs/>
        </w:rPr>
        <w:t xml:space="preserve"> January 2026</w:t>
      </w:r>
    </w:p>
    <w:sectPr w:rsidR="006C4244" w:rsidRPr="00FF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28A4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D910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026BE"/>
    <w:rsid w:val="000164B8"/>
    <w:rsid w:val="000172AF"/>
    <w:rsid w:val="0002689D"/>
    <w:rsid w:val="000708B4"/>
    <w:rsid w:val="000A7E7A"/>
    <w:rsid w:val="000B5A08"/>
    <w:rsid w:val="000B6930"/>
    <w:rsid w:val="000C016C"/>
    <w:rsid w:val="000D6BD3"/>
    <w:rsid w:val="000F5FA7"/>
    <w:rsid w:val="00121881"/>
    <w:rsid w:val="001258AE"/>
    <w:rsid w:val="001305F9"/>
    <w:rsid w:val="001411AE"/>
    <w:rsid w:val="001466E0"/>
    <w:rsid w:val="00153811"/>
    <w:rsid w:val="00156DCC"/>
    <w:rsid w:val="00171C18"/>
    <w:rsid w:val="001720BC"/>
    <w:rsid w:val="001B1FA3"/>
    <w:rsid w:val="001C43F6"/>
    <w:rsid w:val="001E0FDF"/>
    <w:rsid w:val="002227EC"/>
    <w:rsid w:val="002370DE"/>
    <w:rsid w:val="0024079F"/>
    <w:rsid w:val="00251451"/>
    <w:rsid w:val="0025556F"/>
    <w:rsid w:val="002557D1"/>
    <w:rsid w:val="00256C32"/>
    <w:rsid w:val="002715D7"/>
    <w:rsid w:val="00272480"/>
    <w:rsid w:val="00277622"/>
    <w:rsid w:val="002805CE"/>
    <w:rsid w:val="0029090D"/>
    <w:rsid w:val="002A44D7"/>
    <w:rsid w:val="002B314F"/>
    <w:rsid w:val="002E421F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3507"/>
    <w:rsid w:val="003F44D3"/>
    <w:rsid w:val="00414D5D"/>
    <w:rsid w:val="004422B0"/>
    <w:rsid w:val="00444B97"/>
    <w:rsid w:val="004528A5"/>
    <w:rsid w:val="00457AB3"/>
    <w:rsid w:val="004607AB"/>
    <w:rsid w:val="0047328B"/>
    <w:rsid w:val="0048700A"/>
    <w:rsid w:val="00490837"/>
    <w:rsid w:val="004A3081"/>
    <w:rsid w:val="004D6785"/>
    <w:rsid w:val="004E007D"/>
    <w:rsid w:val="00507966"/>
    <w:rsid w:val="00517B23"/>
    <w:rsid w:val="0052305A"/>
    <w:rsid w:val="0052411E"/>
    <w:rsid w:val="005253BA"/>
    <w:rsid w:val="00556FEF"/>
    <w:rsid w:val="00587377"/>
    <w:rsid w:val="005C6577"/>
    <w:rsid w:val="005E3F6B"/>
    <w:rsid w:val="00605B03"/>
    <w:rsid w:val="00607ABA"/>
    <w:rsid w:val="006122B7"/>
    <w:rsid w:val="00612621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41167"/>
    <w:rsid w:val="00755B9F"/>
    <w:rsid w:val="007756AB"/>
    <w:rsid w:val="00782F7F"/>
    <w:rsid w:val="007871E6"/>
    <w:rsid w:val="00787994"/>
    <w:rsid w:val="00792375"/>
    <w:rsid w:val="007C049B"/>
    <w:rsid w:val="007F5DAA"/>
    <w:rsid w:val="008459FC"/>
    <w:rsid w:val="0086585A"/>
    <w:rsid w:val="008711C2"/>
    <w:rsid w:val="00872068"/>
    <w:rsid w:val="00886C2D"/>
    <w:rsid w:val="008901DD"/>
    <w:rsid w:val="008A3026"/>
    <w:rsid w:val="008D6289"/>
    <w:rsid w:val="008E1289"/>
    <w:rsid w:val="008E6D18"/>
    <w:rsid w:val="00911A3A"/>
    <w:rsid w:val="009323D6"/>
    <w:rsid w:val="009408DF"/>
    <w:rsid w:val="0096245E"/>
    <w:rsid w:val="009651C3"/>
    <w:rsid w:val="00966F48"/>
    <w:rsid w:val="00993DDB"/>
    <w:rsid w:val="009B14AB"/>
    <w:rsid w:val="009B4FCF"/>
    <w:rsid w:val="009C44B0"/>
    <w:rsid w:val="009D36F5"/>
    <w:rsid w:val="009D436B"/>
    <w:rsid w:val="009E6864"/>
    <w:rsid w:val="00A01A44"/>
    <w:rsid w:val="00A03C96"/>
    <w:rsid w:val="00A040BC"/>
    <w:rsid w:val="00A06494"/>
    <w:rsid w:val="00A06F4B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0392F"/>
    <w:rsid w:val="00C10C3F"/>
    <w:rsid w:val="00C10CD2"/>
    <w:rsid w:val="00C13A97"/>
    <w:rsid w:val="00C504B6"/>
    <w:rsid w:val="00C55019"/>
    <w:rsid w:val="00C57D18"/>
    <w:rsid w:val="00C71DDF"/>
    <w:rsid w:val="00C735BA"/>
    <w:rsid w:val="00CB1432"/>
    <w:rsid w:val="00CB7A00"/>
    <w:rsid w:val="00CC438E"/>
    <w:rsid w:val="00CE0774"/>
    <w:rsid w:val="00CE35E5"/>
    <w:rsid w:val="00CF0B46"/>
    <w:rsid w:val="00D0186C"/>
    <w:rsid w:val="00D073BA"/>
    <w:rsid w:val="00D10505"/>
    <w:rsid w:val="00D17291"/>
    <w:rsid w:val="00D203F0"/>
    <w:rsid w:val="00D251AE"/>
    <w:rsid w:val="00D3541B"/>
    <w:rsid w:val="00D47F0D"/>
    <w:rsid w:val="00D61FB3"/>
    <w:rsid w:val="00D64A6C"/>
    <w:rsid w:val="00D65909"/>
    <w:rsid w:val="00D72AAF"/>
    <w:rsid w:val="00D7575E"/>
    <w:rsid w:val="00D86C03"/>
    <w:rsid w:val="00DA78CB"/>
    <w:rsid w:val="00DE249A"/>
    <w:rsid w:val="00DF0C70"/>
    <w:rsid w:val="00DF74DE"/>
    <w:rsid w:val="00E002FA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D0559"/>
    <w:rsid w:val="00EF2869"/>
    <w:rsid w:val="00EF69E1"/>
    <w:rsid w:val="00EF7A1A"/>
    <w:rsid w:val="00F1401C"/>
    <w:rsid w:val="00F40693"/>
    <w:rsid w:val="00F46F1E"/>
    <w:rsid w:val="00F5372B"/>
    <w:rsid w:val="00F75DC0"/>
    <w:rsid w:val="00F9005A"/>
    <w:rsid w:val="00F92EBA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93</cp:revision>
  <dcterms:created xsi:type="dcterms:W3CDTF">2023-02-15T17:47:00Z</dcterms:created>
  <dcterms:modified xsi:type="dcterms:W3CDTF">2025-09-17T19:37:00Z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